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3" w:rsidRDefault="00AD5A03" w:rsidP="00AD5A03">
      <w:pPr>
        <w:pStyle w:val="Heading2"/>
        <w:rPr>
          <w:lang w:val="sv-SE" w:eastAsia="sv-SE"/>
        </w:rPr>
      </w:pPr>
      <w:r>
        <w:rPr>
          <w:lang w:val="sv-SE" w:eastAsia="sv-SE"/>
        </w:rPr>
        <w:t>Egenvårdsområden</w:t>
      </w:r>
    </w:p>
    <w:p w:rsidR="00041335" w:rsidRDefault="00AD5A03">
      <w:pPr>
        <w:rPr>
          <w:lang w:val="sv-SE" w:eastAsia="sv-SE"/>
        </w:rPr>
      </w:pPr>
      <w:r w:rsidRPr="00B827E9">
        <w:rPr>
          <w:lang w:val="sv-SE" w:eastAsia="sv-SE"/>
        </w:rPr>
        <w:t xml:space="preserve">Processen i egenvårdsexpeditionen genomförs i enlighet med rutiner på praktikapoteket, tex </w:t>
      </w:r>
      <w:proofErr w:type="spellStart"/>
      <w:r w:rsidRPr="00B827E9">
        <w:rPr>
          <w:lang w:val="sv-SE" w:eastAsia="sv-SE"/>
        </w:rPr>
        <w:t>kontaktfas</w:t>
      </w:r>
      <w:proofErr w:type="spellEnd"/>
      <w:r w:rsidRPr="00B827E9">
        <w:rPr>
          <w:lang w:val="sv-SE" w:eastAsia="sv-SE"/>
        </w:rPr>
        <w:t>, öppningsfas med öppna frågor, fördjupningsfas med nyckelfrågor, beslutsfas med information och  rekommendation av egenvård eller hänvisning till sjukvård, ta betalt, avsluta kundmöte.</w:t>
      </w:r>
    </w:p>
    <w:p w:rsidR="00AD5A03" w:rsidRDefault="00AD5A03">
      <w:pPr>
        <w:rPr>
          <w:lang w:val="sv-SE" w:eastAsia="sv-SE"/>
        </w:rPr>
      </w:pPr>
      <w:r>
        <w:rPr>
          <w:lang w:val="sv-SE" w:eastAsia="sv-SE"/>
        </w:rPr>
        <w:t>I tabellen nedan listas samtliga egenvårdsområden som ingår i kursen. Tabellen kan med fördel användas som ett levande dokument och en del av studentens individuella studieplan som</w:t>
      </w:r>
      <w:r w:rsidR="00857791">
        <w:rPr>
          <w:lang w:val="sv-SE" w:eastAsia="sv-SE"/>
        </w:rPr>
        <w:t xml:space="preserve"> ni</w:t>
      </w:r>
      <w:r>
        <w:rPr>
          <w:lang w:val="sv-SE" w:eastAsia="sv-SE"/>
        </w:rPr>
        <w:t xml:space="preserve"> går igenom under de veckovisa handledarmötena för att säkerställa att samtliga områden hinner gås igenom under kursen och som ett komplement till slutrapporten.</w:t>
      </w:r>
    </w:p>
    <w:p w:rsidR="00AD5A03" w:rsidRDefault="00AD5A03">
      <w:pPr>
        <w:rPr>
          <w:lang w:val="sv-SE" w:eastAsia="sv-SE"/>
        </w:rPr>
      </w:pPr>
      <w:r>
        <w:rPr>
          <w:lang w:val="sv-SE" w:eastAsia="sv-SE"/>
        </w:rPr>
        <w:t>Notera när studenten ska jobba med respektive område samt notera när ni checkat av att studenten har grund</w:t>
      </w:r>
      <w:r w:rsidR="008946CC">
        <w:rPr>
          <w:lang w:val="sv-SE" w:eastAsia="sv-SE"/>
        </w:rPr>
        <w:t>läggande kunskaper inom rådgi</w:t>
      </w:r>
      <w:r>
        <w:rPr>
          <w:lang w:val="sv-SE" w:eastAsia="sv-SE"/>
        </w:rPr>
        <w:t>vning, produktkunskap och gräns</w:t>
      </w:r>
      <w:r w:rsidR="00857791">
        <w:rPr>
          <w:lang w:val="sv-SE" w:eastAsia="sv-SE"/>
        </w:rPr>
        <w:t>dragning för respektive område.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879"/>
        <w:gridCol w:w="1120"/>
        <w:gridCol w:w="1395"/>
        <w:gridCol w:w="1592"/>
        <w:gridCol w:w="1508"/>
        <w:gridCol w:w="1281"/>
      </w:tblGrid>
      <w:tr w:rsidR="00AD5A03" w:rsidTr="00AD5A03">
        <w:tc>
          <w:tcPr>
            <w:tcW w:w="583" w:type="dxa"/>
          </w:tcPr>
          <w:p w:rsidR="00225125" w:rsidRPr="00857791" w:rsidRDefault="00225125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När</w:t>
            </w:r>
          </w:p>
        </w:tc>
        <w:tc>
          <w:tcPr>
            <w:tcW w:w="1879" w:type="dxa"/>
          </w:tcPr>
          <w:p w:rsidR="00225125" w:rsidRPr="00857791" w:rsidRDefault="00225125" w:rsidP="00225125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Egenvårds-</w:t>
            </w:r>
          </w:p>
          <w:p w:rsidR="00225125" w:rsidRPr="00857791" w:rsidRDefault="00225125" w:rsidP="00225125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område</w:t>
            </w:r>
          </w:p>
        </w:tc>
        <w:tc>
          <w:tcPr>
            <w:tcW w:w="1123" w:type="dxa"/>
          </w:tcPr>
          <w:p w:rsidR="00225125" w:rsidRPr="00857791" w:rsidRDefault="00225125" w:rsidP="00225125">
            <w:pPr>
              <w:rPr>
                <w:b/>
                <w:sz w:val="18"/>
                <w:lang w:val="sv-SE"/>
              </w:rPr>
            </w:pPr>
            <w:proofErr w:type="spellStart"/>
            <w:r w:rsidRPr="00857791">
              <w:rPr>
                <w:b/>
                <w:sz w:val="18"/>
              </w:rPr>
              <w:t>Rådgivning</w:t>
            </w:r>
            <w:proofErr w:type="spellEnd"/>
            <w:r w:rsidRPr="00857791">
              <w:rPr>
                <w:b/>
                <w:sz w:val="18"/>
              </w:rPr>
              <w:t xml:space="preserve">: </w:t>
            </w:r>
            <w:proofErr w:type="spellStart"/>
            <w:r w:rsidRPr="00857791">
              <w:rPr>
                <w:b/>
                <w:sz w:val="18"/>
              </w:rPr>
              <w:t>behandling</w:t>
            </w:r>
            <w:proofErr w:type="spellEnd"/>
            <w:r w:rsidRPr="00857791">
              <w:rPr>
                <w:b/>
                <w:sz w:val="18"/>
              </w:rPr>
              <w:t xml:space="preserve"> - </w:t>
            </w:r>
            <w:proofErr w:type="spellStart"/>
            <w:r w:rsidRPr="00857791">
              <w:rPr>
                <w:b/>
                <w:sz w:val="18"/>
              </w:rPr>
              <w:t>produktval</w:t>
            </w:r>
            <w:proofErr w:type="spellEnd"/>
          </w:p>
        </w:tc>
        <w:tc>
          <w:tcPr>
            <w:tcW w:w="1396" w:type="dxa"/>
          </w:tcPr>
          <w:p w:rsidR="00225125" w:rsidRPr="00857791" w:rsidRDefault="00225125">
            <w:pPr>
              <w:rPr>
                <w:b/>
                <w:sz w:val="18"/>
                <w:lang w:val="sv-SE"/>
              </w:rPr>
            </w:pPr>
            <w:proofErr w:type="spellStart"/>
            <w:r w:rsidRPr="00857791">
              <w:rPr>
                <w:b/>
                <w:sz w:val="18"/>
              </w:rPr>
              <w:t>Rådgivning</w:t>
            </w:r>
            <w:proofErr w:type="spellEnd"/>
            <w:r w:rsidRPr="00857791">
              <w:rPr>
                <w:b/>
                <w:sz w:val="18"/>
              </w:rPr>
              <w:t xml:space="preserve">: </w:t>
            </w:r>
            <w:proofErr w:type="spellStart"/>
            <w:r w:rsidRPr="00857791">
              <w:rPr>
                <w:b/>
                <w:sz w:val="18"/>
              </w:rPr>
              <w:t>hälsofrämjande</w:t>
            </w:r>
            <w:proofErr w:type="spellEnd"/>
            <w:r w:rsidRPr="00857791">
              <w:rPr>
                <w:b/>
                <w:sz w:val="18"/>
              </w:rPr>
              <w:t xml:space="preserve"> </w:t>
            </w:r>
            <w:proofErr w:type="spellStart"/>
            <w:r w:rsidRPr="00857791">
              <w:rPr>
                <w:b/>
                <w:sz w:val="18"/>
              </w:rPr>
              <w:t>åtgärder</w:t>
            </w:r>
            <w:proofErr w:type="spellEnd"/>
          </w:p>
        </w:tc>
        <w:tc>
          <w:tcPr>
            <w:tcW w:w="1559" w:type="dxa"/>
          </w:tcPr>
          <w:p w:rsidR="00225125" w:rsidRPr="00857791" w:rsidRDefault="00225125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Produktkunskap (produktval, dos, ålder, behandlingslängd)</w:t>
            </w:r>
          </w:p>
        </w:tc>
        <w:tc>
          <w:tcPr>
            <w:tcW w:w="1527" w:type="dxa"/>
          </w:tcPr>
          <w:p w:rsidR="00225125" w:rsidRPr="00857791" w:rsidRDefault="00225125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Gränsdragning – egenvård lämplig eller ej?</w:t>
            </w:r>
          </w:p>
        </w:tc>
        <w:tc>
          <w:tcPr>
            <w:tcW w:w="1283" w:type="dxa"/>
          </w:tcPr>
          <w:p w:rsidR="00225125" w:rsidRPr="00857791" w:rsidRDefault="00225125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Kommentarer</w:t>
            </w:r>
          </w:p>
        </w:tc>
      </w:tr>
      <w:tr w:rsidR="00AD5A03" w:rsidTr="00AD5A03">
        <w:tc>
          <w:tcPr>
            <w:tcW w:w="583" w:type="dxa"/>
          </w:tcPr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225125" w:rsidRDefault="00225125">
            <w:pPr>
              <w:rPr>
                <w:rFonts w:eastAsia="Times New Roman" w:cstheme="minorHAnsi"/>
                <w:b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Allergi</w:t>
            </w:r>
            <w:proofErr w:type="spellEnd"/>
          </w:p>
          <w:p w:rsidR="00AD5A03" w:rsidRDefault="00AD5A03">
            <w:pPr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AD5A03" w:rsidRPr="00AD5A03" w:rsidRDefault="00AD5A03">
            <w:pPr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225125" w:rsidRPr="00AD5A03" w:rsidRDefault="00225125">
            <w:pPr>
              <w:rPr>
                <w:b/>
                <w:sz w:val="18"/>
                <w:lang w:val="sv-SE"/>
              </w:rPr>
            </w:pPr>
          </w:p>
        </w:tc>
        <w:tc>
          <w:tcPr>
            <w:tcW w:w="1123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225125" w:rsidRDefault="00225125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Förkylning: </w:t>
            </w:r>
          </w:p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Feber, halsont,</w:t>
            </w:r>
            <w:r w:rsidRPr="00AD5A03">
              <w:rPr>
                <w:rFonts w:eastAsia="Courier New" w:cstheme="minorHAnsi"/>
                <w:sz w:val="18"/>
                <w:lang w:val="sv-SE" w:eastAsia="sv-SE"/>
              </w:rPr>
              <w:t xml:space="preserve"> h</w:t>
            </w: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osta/heshet, snuva/nästäppa</w:t>
            </w:r>
          </w:p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123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225125" w:rsidRDefault="00225125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Gynekologi </w:t>
            </w:r>
          </w:p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 xml:space="preserve">Klimakteriebesvär, riklig mensblödning, flytning/svamp, akut p-piller </w:t>
            </w:r>
          </w:p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123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225125" w:rsidRDefault="00225125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Hjärta/kärl </w:t>
            </w:r>
          </w:p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Venös insufficient, förebyggande omega 3</w:t>
            </w:r>
          </w:p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123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225125" w:rsidRDefault="00225125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Hud och hår </w:t>
            </w:r>
          </w:p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Akne, bett och insektsstick, blöjutslag, brännskador, eksem, fotsvamp, förhårdnader och självsprickor, huvudlöss, håravfall, klåda, ljumsksvamp, mjäll, munsår och svinkoppor, solskador, sår, torr hud, vårtor – hand och fot</w:t>
            </w:r>
          </w:p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123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225125" w:rsidRDefault="00225125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225125" w:rsidRPr="00AD5A03" w:rsidRDefault="00225125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225125" w:rsidRPr="00AD5A03" w:rsidRDefault="00225125" w:rsidP="00225125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Hund och katt: </w:t>
            </w:r>
          </w:p>
          <w:p w:rsidR="00225125" w:rsidRPr="00857791" w:rsidRDefault="00225125" w:rsidP="00857791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proofErr w:type="spellStart"/>
            <w:r w:rsidRPr="00AD5A03">
              <w:rPr>
                <w:rFonts w:eastAsia="Times New Roman" w:cstheme="minorHAnsi"/>
                <w:sz w:val="18"/>
                <w:lang w:val="sv-SE" w:eastAsia="sv-SE"/>
              </w:rPr>
              <w:t>Endo</w:t>
            </w:r>
            <w:proofErr w:type="spellEnd"/>
            <w:r w:rsidRPr="00AD5A03">
              <w:rPr>
                <w:rFonts w:eastAsia="Times New Roman" w:cstheme="minorHAnsi"/>
                <w:sz w:val="18"/>
                <w:lang w:val="sv-SE" w:eastAsia="sv-SE"/>
              </w:rPr>
              <w:t xml:space="preserve">- och </w:t>
            </w:r>
            <w:proofErr w:type="spellStart"/>
            <w:r w:rsidRPr="00AD5A03">
              <w:rPr>
                <w:rFonts w:eastAsia="Times New Roman" w:cstheme="minorHAnsi"/>
                <w:sz w:val="18"/>
                <w:lang w:val="sv-SE" w:eastAsia="sv-SE"/>
              </w:rPr>
              <w:t>ektoparasiter</w:t>
            </w:r>
            <w:proofErr w:type="spellEnd"/>
          </w:p>
        </w:tc>
        <w:tc>
          <w:tcPr>
            <w:tcW w:w="1123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225125" w:rsidRDefault="00225125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225125" w:rsidRDefault="00225125">
            <w:pPr>
              <w:rPr>
                <w:lang w:val="sv-SE"/>
              </w:rPr>
            </w:pPr>
          </w:p>
        </w:tc>
      </w:tr>
      <w:tr w:rsidR="00AD5A03" w:rsidTr="00AD5A03">
        <w:tc>
          <w:tcPr>
            <w:tcW w:w="583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lastRenderedPageBreak/>
              <w:t>När</w:t>
            </w:r>
          </w:p>
        </w:tc>
        <w:tc>
          <w:tcPr>
            <w:tcW w:w="1879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Egenvårds-</w:t>
            </w:r>
          </w:p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område</w:t>
            </w:r>
          </w:p>
        </w:tc>
        <w:tc>
          <w:tcPr>
            <w:tcW w:w="1123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proofErr w:type="spellStart"/>
            <w:r w:rsidRPr="00857791">
              <w:rPr>
                <w:b/>
                <w:sz w:val="18"/>
              </w:rPr>
              <w:t>Rådgivning</w:t>
            </w:r>
            <w:proofErr w:type="spellEnd"/>
            <w:r w:rsidRPr="00857791">
              <w:rPr>
                <w:b/>
                <w:sz w:val="18"/>
              </w:rPr>
              <w:t xml:space="preserve">: </w:t>
            </w:r>
            <w:proofErr w:type="spellStart"/>
            <w:r w:rsidRPr="00857791">
              <w:rPr>
                <w:b/>
                <w:sz w:val="18"/>
              </w:rPr>
              <w:t>behandling</w:t>
            </w:r>
            <w:proofErr w:type="spellEnd"/>
            <w:r w:rsidRPr="00857791">
              <w:rPr>
                <w:b/>
                <w:sz w:val="18"/>
              </w:rPr>
              <w:t xml:space="preserve"> - </w:t>
            </w:r>
            <w:proofErr w:type="spellStart"/>
            <w:r w:rsidRPr="00857791">
              <w:rPr>
                <w:b/>
                <w:sz w:val="18"/>
              </w:rPr>
              <w:t>produktval</w:t>
            </w:r>
            <w:proofErr w:type="spellEnd"/>
          </w:p>
        </w:tc>
        <w:tc>
          <w:tcPr>
            <w:tcW w:w="1396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proofErr w:type="spellStart"/>
            <w:r w:rsidRPr="00857791">
              <w:rPr>
                <w:b/>
                <w:sz w:val="18"/>
              </w:rPr>
              <w:t>Rådgivning</w:t>
            </w:r>
            <w:proofErr w:type="spellEnd"/>
            <w:r w:rsidRPr="00857791">
              <w:rPr>
                <w:b/>
                <w:sz w:val="18"/>
              </w:rPr>
              <w:t xml:space="preserve">: </w:t>
            </w:r>
            <w:proofErr w:type="spellStart"/>
            <w:r w:rsidRPr="00857791">
              <w:rPr>
                <w:b/>
                <w:sz w:val="18"/>
              </w:rPr>
              <w:t>hälsofrämjande</w:t>
            </w:r>
            <w:proofErr w:type="spellEnd"/>
            <w:r w:rsidRPr="00857791">
              <w:rPr>
                <w:b/>
                <w:sz w:val="18"/>
              </w:rPr>
              <w:t xml:space="preserve"> </w:t>
            </w:r>
            <w:proofErr w:type="spellStart"/>
            <w:r w:rsidRPr="00857791">
              <w:rPr>
                <w:b/>
                <w:sz w:val="18"/>
              </w:rPr>
              <w:t>åtgärder</w:t>
            </w:r>
            <w:proofErr w:type="spellEnd"/>
          </w:p>
        </w:tc>
        <w:tc>
          <w:tcPr>
            <w:tcW w:w="1559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Produktkunskap (produktval, dos, ålder, behandlingslängd)</w:t>
            </w:r>
          </w:p>
        </w:tc>
        <w:tc>
          <w:tcPr>
            <w:tcW w:w="1527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Gränsdragning – egenvård lämplig eller ej?</w:t>
            </w:r>
          </w:p>
        </w:tc>
        <w:tc>
          <w:tcPr>
            <w:tcW w:w="1283" w:type="dxa"/>
          </w:tcPr>
          <w:p w:rsidR="00AD5A03" w:rsidRPr="00857791" w:rsidRDefault="00AD5A03" w:rsidP="00AD5A03">
            <w:pPr>
              <w:rPr>
                <w:b/>
                <w:sz w:val="18"/>
                <w:lang w:val="sv-SE"/>
              </w:rPr>
            </w:pPr>
            <w:r w:rsidRPr="00857791">
              <w:rPr>
                <w:b/>
                <w:sz w:val="18"/>
                <w:lang w:val="sv-SE"/>
              </w:rPr>
              <w:t>Kommentarer</w:t>
            </w:r>
          </w:p>
        </w:tc>
      </w:tr>
      <w:tr w:rsidR="00AD5A03" w:rsidRPr="007D1FE0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>Mage/tarm</w:t>
            </w:r>
            <w:r w:rsidRPr="00AD5A03">
              <w:rPr>
                <w:rFonts w:eastAsia="Times New Roman" w:cstheme="minorHAnsi"/>
                <w:sz w:val="18"/>
                <w:lang w:val="sv-SE" w:eastAsia="sv-SE"/>
              </w:rPr>
              <w:t xml:space="preserve">: 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Halsbränna, förstoppning, diarré, gasbesvär, analbesvär, mask</w:t>
            </w:r>
          </w:p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Mun/tänder: 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Muntorrhet, munsår, blåsor i munnen, dålig andedräkt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AD5A03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Rökavvänjning</w:t>
            </w:r>
            <w:proofErr w:type="spellEnd"/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857791" w:rsidRPr="007D1FE0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0124C0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0124C0">
              <w:rPr>
                <w:rFonts w:eastAsia="Times New Roman" w:cstheme="minorHAnsi"/>
                <w:b/>
                <w:sz w:val="18"/>
                <w:lang w:val="sv-SE" w:eastAsia="sv-SE"/>
              </w:rPr>
              <w:t xml:space="preserve">Psykiska besvär/CSN: 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Lättare nedstämdhet, sömnstörningar, åksjuka, minnesbesvär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AD5A03" w:rsidRPr="007D1FE0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0124C0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val="sv-SE" w:eastAsia="sv-SE"/>
              </w:rPr>
            </w:pPr>
            <w:r w:rsidRPr="000124C0">
              <w:rPr>
                <w:rFonts w:eastAsia="Times New Roman" w:cstheme="minorHAnsi"/>
                <w:b/>
                <w:sz w:val="18"/>
                <w:lang w:val="sv-SE" w:eastAsia="sv-SE"/>
              </w:rPr>
              <w:t>Smärta: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val="sv-SE" w:eastAsia="sv-SE"/>
              </w:rPr>
            </w:pPr>
            <w:r w:rsidRPr="00AD5A03">
              <w:rPr>
                <w:rFonts w:eastAsia="Times New Roman" w:cstheme="minorHAnsi"/>
                <w:sz w:val="18"/>
                <w:lang w:val="sv-SE" w:eastAsia="sv-SE"/>
              </w:rPr>
              <w:t>Huvudvärk, ledbesvär, skelett- och muskelskador, nack- och ryggbesvär, mensvärk, tandvärk</w:t>
            </w: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AD5A03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Vitaminer</w:t>
            </w:r>
            <w:proofErr w:type="spellEnd"/>
          </w:p>
          <w:p w:rsid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AD5A03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Urologi</w:t>
            </w:r>
            <w:proofErr w:type="spellEnd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: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sz w:val="18"/>
                <w:lang w:eastAsia="sv-SE"/>
              </w:rPr>
              <w:t>Vattenkastningsbesvär</w:t>
            </w:r>
            <w:proofErr w:type="spellEnd"/>
            <w:r w:rsidRPr="00AD5A03">
              <w:rPr>
                <w:rFonts w:eastAsia="Times New Roman" w:cstheme="minorHAnsi"/>
                <w:sz w:val="18"/>
                <w:lang w:eastAsia="sv-SE"/>
              </w:rPr>
              <w:t xml:space="preserve"> </w:t>
            </w:r>
          </w:p>
          <w:p w:rsid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AD5A03" w:rsidTr="00AD5A03">
        <w:tc>
          <w:tcPr>
            <w:tcW w:w="583" w:type="dxa"/>
          </w:tcPr>
          <w:p w:rsidR="00AD5A03" w:rsidRPr="00AD5A03" w:rsidRDefault="00AD5A03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Ögon</w:t>
            </w:r>
            <w:proofErr w:type="spellEnd"/>
            <w:r w:rsidRPr="00AD5A03">
              <w:rPr>
                <w:rFonts w:eastAsia="Times New Roman" w:cstheme="minorHAnsi"/>
                <w:b/>
                <w:sz w:val="18"/>
                <w:lang w:eastAsia="sv-SE"/>
              </w:rPr>
              <w:t>:</w:t>
            </w: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sz w:val="18"/>
                <w:lang w:eastAsia="sv-SE"/>
              </w:rPr>
            </w:pPr>
            <w:proofErr w:type="spellStart"/>
            <w:r w:rsidRPr="00AD5A03">
              <w:rPr>
                <w:rFonts w:eastAsia="Times New Roman" w:cstheme="minorHAnsi"/>
                <w:sz w:val="18"/>
                <w:lang w:eastAsia="sv-SE"/>
              </w:rPr>
              <w:t>Torra</w:t>
            </w:r>
            <w:proofErr w:type="spellEnd"/>
            <w:r w:rsidRPr="00AD5A03">
              <w:rPr>
                <w:rFonts w:eastAsia="Times New Roman" w:cstheme="minorHAnsi"/>
                <w:sz w:val="18"/>
                <w:lang w:eastAsia="sv-SE"/>
              </w:rPr>
              <w:t xml:space="preserve"> </w:t>
            </w:r>
            <w:proofErr w:type="spellStart"/>
            <w:r w:rsidRPr="00AD5A03">
              <w:rPr>
                <w:rFonts w:eastAsia="Times New Roman" w:cstheme="minorHAnsi"/>
                <w:sz w:val="18"/>
                <w:lang w:eastAsia="sv-SE"/>
              </w:rPr>
              <w:t>ögon</w:t>
            </w:r>
            <w:proofErr w:type="spellEnd"/>
            <w:r w:rsidRPr="00AD5A03">
              <w:rPr>
                <w:rFonts w:eastAsia="Times New Roman" w:cstheme="minorHAnsi"/>
                <w:sz w:val="18"/>
                <w:lang w:eastAsia="sv-SE"/>
              </w:rPr>
              <w:t xml:space="preserve">, </w:t>
            </w:r>
            <w:proofErr w:type="spellStart"/>
            <w:r w:rsidRPr="00AD5A03">
              <w:rPr>
                <w:rFonts w:eastAsia="Times New Roman" w:cstheme="minorHAnsi"/>
                <w:sz w:val="18"/>
                <w:lang w:eastAsia="sv-SE"/>
              </w:rPr>
              <w:t>röda</w:t>
            </w:r>
            <w:proofErr w:type="spellEnd"/>
            <w:r w:rsidRPr="00AD5A03">
              <w:rPr>
                <w:rFonts w:eastAsia="Times New Roman" w:cstheme="minorHAnsi"/>
                <w:sz w:val="18"/>
                <w:lang w:eastAsia="sv-SE"/>
              </w:rPr>
              <w:t xml:space="preserve"> </w:t>
            </w:r>
            <w:proofErr w:type="spellStart"/>
            <w:r w:rsidRPr="00AD5A03">
              <w:rPr>
                <w:rFonts w:eastAsia="Times New Roman" w:cstheme="minorHAnsi"/>
                <w:sz w:val="18"/>
                <w:lang w:eastAsia="sv-SE"/>
              </w:rPr>
              <w:t>ögon</w:t>
            </w:r>
            <w:proofErr w:type="spellEnd"/>
          </w:p>
          <w:p w:rsid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  <w:p w:rsidR="00AD5A03" w:rsidRPr="00AD5A03" w:rsidRDefault="00AD5A03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</w:p>
        </w:tc>
        <w:tc>
          <w:tcPr>
            <w:tcW w:w="112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AD5A03" w:rsidRDefault="00AD5A03" w:rsidP="00AD5A03">
            <w:pPr>
              <w:rPr>
                <w:lang w:val="sv-SE"/>
              </w:rPr>
            </w:pPr>
          </w:p>
        </w:tc>
      </w:tr>
      <w:tr w:rsidR="007D1FE0" w:rsidTr="00AD5A03">
        <w:tc>
          <w:tcPr>
            <w:tcW w:w="583" w:type="dxa"/>
          </w:tcPr>
          <w:p w:rsidR="007D1FE0" w:rsidRPr="00AD5A03" w:rsidRDefault="007D1FE0" w:rsidP="00AD5A03">
            <w:pPr>
              <w:rPr>
                <w:sz w:val="18"/>
                <w:lang w:val="sv-SE"/>
              </w:rPr>
            </w:pPr>
          </w:p>
        </w:tc>
        <w:tc>
          <w:tcPr>
            <w:tcW w:w="1879" w:type="dxa"/>
          </w:tcPr>
          <w:p w:rsidR="007D1FE0" w:rsidRDefault="007D1FE0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lang w:eastAsia="sv-SE"/>
              </w:rPr>
              <w:t>Öron</w:t>
            </w:r>
            <w:proofErr w:type="spellEnd"/>
          </w:p>
          <w:p w:rsidR="007D1FE0" w:rsidRPr="00AD5A03" w:rsidRDefault="007D1FE0" w:rsidP="00AD5A03">
            <w:pPr>
              <w:tabs>
                <w:tab w:val="left" w:pos="1134"/>
              </w:tabs>
              <w:rPr>
                <w:rFonts w:eastAsia="Times New Roman" w:cstheme="minorHAnsi"/>
                <w:b/>
                <w:sz w:val="18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123" w:type="dxa"/>
          </w:tcPr>
          <w:p w:rsidR="007D1FE0" w:rsidRDefault="007D1FE0" w:rsidP="00AD5A03">
            <w:pPr>
              <w:rPr>
                <w:lang w:val="sv-SE"/>
              </w:rPr>
            </w:pPr>
          </w:p>
        </w:tc>
        <w:tc>
          <w:tcPr>
            <w:tcW w:w="1396" w:type="dxa"/>
          </w:tcPr>
          <w:p w:rsidR="007D1FE0" w:rsidRDefault="007D1FE0" w:rsidP="00AD5A03">
            <w:pPr>
              <w:rPr>
                <w:lang w:val="sv-SE"/>
              </w:rPr>
            </w:pPr>
          </w:p>
        </w:tc>
        <w:tc>
          <w:tcPr>
            <w:tcW w:w="1559" w:type="dxa"/>
          </w:tcPr>
          <w:p w:rsidR="007D1FE0" w:rsidRDefault="007D1FE0" w:rsidP="00AD5A03">
            <w:pPr>
              <w:rPr>
                <w:lang w:val="sv-SE"/>
              </w:rPr>
            </w:pPr>
          </w:p>
        </w:tc>
        <w:tc>
          <w:tcPr>
            <w:tcW w:w="1527" w:type="dxa"/>
          </w:tcPr>
          <w:p w:rsidR="007D1FE0" w:rsidRDefault="007D1FE0" w:rsidP="00AD5A0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7D1FE0" w:rsidRDefault="007D1FE0" w:rsidP="00AD5A03">
            <w:pPr>
              <w:rPr>
                <w:lang w:val="sv-SE"/>
              </w:rPr>
            </w:pPr>
          </w:p>
        </w:tc>
      </w:tr>
    </w:tbl>
    <w:p w:rsidR="00225125" w:rsidRPr="00225125" w:rsidRDefault="00225125" w:rsidP="00225125">
      <w:pPr>
        <w:rPr>
          <w:lang w:val="sv-SE"/>
        </w:rPr>
      </w:pPr>
    </w:p>
    <w:sectPr w:rsidR="00225125" w:rsidRPr="00225125" w:rsidSect="002251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E5" w:rsidRDefault="004840E5" w:rsidP="00033396">
      <w:pPr>
        <w:spacing w:after="0" w:line="240" w:lineRule="auto"/>
      </w:pPr>
      <w:r>
        <w:separator/>
      </w:r>
    </w:p>
  </w:endnote>
  <w:endnote w:type="continuationSeparator" w:id="0">
    <w:p w:rsidR="004840E5" w:rsidRDefault="004840E5" w:rsidP="0003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96" w:rsidRDefault="00033396">
    <w:pPr>
      <w:pStyle w:val="Footer"/>
    </w:pPr>
    <w:proofErr w:type="spellStart"/>
    <w:r>
      <w:t>Uppdaterad</w:t>
    </w:r>
    <w:proofErr w:type="spellEnd"/>
    <w:r>
      <w:t xml:space="preserve"> 2019-12-20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E5" w:rsidRDefault="004840E5" w:rsidP="00033396">
      <w:pPr>
        <w:spacing w:after="0" w:line="240" w:lineRule="auto"/>
      </w:pPr>
      <w:r>
        <w:separator/>
      </w:r>
    </w:p>
  </w:footnote>
  <w:footnote w:type="continuationSeparator" w:id="0">
    <w:p w:rsidR="004840E5" w:rsidRDefault="004840E5" w:rsidP="0003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3D1F"/>
    <w:multiLevelType w:val="hybridMultilevel"/>
    <w:tmpl w:val="184467AC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25"/>
    <w:rsid w:val="000124C0"/>
    <w:rsid w:val="00033396"/>
    <w:rsid w:val="00041335"/>
    <w:rsid w:val="00225125"/>
    <w:rsid w:val="004840E5"/>
    <w:rsid w:val="005074C5"/>
    <w:rsid w:val="007D1FE0"/>
    <w:rsid w:val="00857791"/>
    <w:rsid w:val="008946CC"/>
    <w:rsid w:val="00AD5A03"/>
    <w:rsid w:val="00D92A36"/>
    <w:rsid w:val="00E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2750"/>
  <w15:chartTrackingRefBased/>
  <w15:docId w15:val="{CFDF26AE-CAFA-49D1-8F28-0432FEA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1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5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6"/>
  </w:style>
  <w:style w:type="paragraph" w:styleId="Footer">
    <w:name w:val="footer"/>
    <w:basedOn w:val="Normal"/>
    <w:link w:val="FooterChar"/>
    <w:uiPriority w:val="99"/>
    <w:unhideWhenUsed/>
    <w:rsid w:val="000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Heijkenskjöld</dc:creator>
  <cp:keywords/>
  <dc:description/>
  <cp:lastModifiedBy>Charlotta Heijkenskjöld</cp:lastModifiedBy>
  <cp:revision>6</cp:revision>
  <dcterms:created xsi:type="dcterms:W3CDTF">2019-12-16T18:51:00Z</dcterms:created>
  <dcterms:modified xsi:type="dcterms:W3CDTF">2020-01-02T19:13:00Z</dcterms:modified>
</cp:coreProperties>
</file>